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ff0000"/>
          <w:sz w:val="36"/>
          <w:szCs w:val="36"/>
          <w:rtl w:val="0"/>
        </w:rPr>
        <w:t xml:space="preserve">Imperialism Resources</w:t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color w:val="666666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36"/>
          <w:szCs w:val="36"/>
          <w:rtl w:val="0"/>
        </w:rPr>
        <w:t xml:space="preserve">Map Resources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hyperlink r:id="rId6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36"/>
            <w:szCs w:val="36"/>
            <w:u w:val="single"/>
            <w:rtl w:val="0"/>
          </w:rPr>
          <w:t xml:space="preserve">https://drive.google.com/open?id=18pNg0PkRDS0SqDbPHoyW9yUdy5mv2Cxv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hyperlink r:id="rId7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36"/>
            <w:szCs w:val="36"/>
            <w:u w:val="single"/>
            <w:rtl w:val="0"/>
          </w:rPr>
          <w:t xml:space="preserve">https://drive.google.com/open?id=1YTOlc4N_Xv1QtUFiQeCd4zpdxMbJU-zs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hyperlink r:id="rId8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36"/>
            <w:szCs w:val="36"/>
            <w:u w:val="single"/>
            <w:rtl w:val="0"/>
          </w:rPr>
          <w:t xml:space="preserve">https://link.springer.com/article/10.1007%2Fs12571-011-0125-4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layfair Display" w:cs="Playfair Display" w:eastAsia="Playfair Display" w:hAnsi="Playfair Display"/>
          <w:color w:val="666666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36"/>
          <w:szCs w:val="36"/>
          <w:rtl w:val="0"/>
        </w:rPr>
        <w:t xml:space="preserve">Library Resources</w:t>
      </w:r>
    </w:p>
    <w:p w:rsidR="00000000" w:rsidDel="00000000" w:rsidP="00000000" w:rsidRDefault="00000000" w:rsidRPr="00000000" w14:paraId="0000000D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hyperlink r:id="rId9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36"/>
            <w:szCs w:val="36"/>
            <w:u w:val="single"/>
            <w:rtl w:val="0"/>
          </w:rPr>
          <w:t xml:space="preserve">https://online.infobaselearning.com/Default.aspx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layfair Display" w:cs="Playfair Display" w:eastAsia="Playfair Display" w:hAnsi="Playfair Display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nline.infobaselearning.com/Default.aspx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8pNg0PkRDS0SqDbPHoyW9yUdy5mv2Cxv" TargetMode="External"/><Relationship Id="rId7" Type="http://schemas.openxmlformats.org/officeDocument/2006/relationships/hyperlink" Target="https://drive.google.com/open?id=1YTOlc4N_Xv1QtUFiQeCd4zpdxMbJU-zs" TargetMode="External"/><Relationship Id="rId8" Type="http://schemas.openxmlformats.org/officeDocument/2006/relationships/hyperlink" Target="https://link.springer.com/article/10.1007%2Fs12571-011-0125-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